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rPr>
          <w:rFonts w:hint="eastAsia"/>
          <w:lang w:val="en-US" w:eastAsia="zh-CN"/>
        </w:rPr>
        <w:t>2</w:t>
      </w:r>
      <w:r>
        <w:rPr>
          <w:rFonts w:hint="eastAsia"/>
        </w:rPr>
        <w:t>：</w:t>
      </w:r>
    </w:p>
    <w:p>
      <w:pPr>
        <w:topLinePunct/>
        <w:spacing w:line="560" w:lineRule="exact"/>
        <w:jc w:val="center"/>
        <w:rPr>
          <w:rFonts w:ascii="黑体" w:hAnsi="黑体" w:eastAsia="黑体" w:cs="黑体"/>
          <w:sz w:val="36"/>
          <w:szCs w:val="36"/>
        </w:rPr>
      </w:pPr>
      <w:r>
        <w:rPr>
          <w:rFonts w:hint="eastAsia" w:ascii="黑体" w:hAnsi="黑体" w:eastAsia="黑体" w:cs="黑体"/>
          <w:b/>
          <w:bCs/>
          <w:sz w:val="36"/>
          <w:szCs w:val="36"/>
        </w:rPr>
        <w:t>供应商入库协议</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甲方（需方）：</w:t>
      </w:r>
      <w:r>
        <w:rPr>
          <w:rFonts w:hint="eastAsia" w:ascii="仿宋" w:hAnsi="仿宋" w:eastAsia="仿宋"/>
          <w:sz w:val="24"/>
          <w:u w:val="single"/>
        </w:rPr>
        <w:t xml:space="preserve">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乙方（供方）：</w:t>
      </w:r>
      <w:r>
        <w:rPr>
          <w:rFonts w:hint="eastAsia" w:ascii="仿宋" w:hAnsi="仿宋" w:eastAsia="仿宋"/>
          <w:sz w:val="24"/>
          <w:u w:val="single"/>
        </w:rPr>
        <w:t xml:space="preserve">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经招标采购程序，乙方成为甲方</w:t>
      </w:r>
      <w:r>
        <w:rPr>
          <w:rFonts w:hint="eastAsia" w:ascii="仿宋" w:hAnsi="仿宋" w:eastAsia="仿宋"/>
          <w:sz w:val="24"/>
          <w:u w:val="single"/>
        </w:rPr>
        <w:t xml:space="preserve">                   </w:t>
      </w:r>
      <w:r>
        <w:rPr>
          <w:rFonts w:hint="eastAsia" w:ascii="仿宋" w:hAnsi="仿宋" w:eastAsia="仿宋"/>
          <w:sz w:val="24"/>
        </w:rPr>
        <w:t>项目的入库供应商，双方签订本协议。</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一、</w:t>
      </w:r>
      <w:r>
        <w:rPr>
          <w:rFonts w:ascii="仿宋" w:hAnsi="仿宋" w:eastAsia="仿宋"/>
          <w:sz w:val="24"/>
        </w:rPr>
        <w:t>甲方有权根据</w:t>
      </w:r>
      <w:r>
        <w:rPr>
          <w:rFonts w:hint="eastAsia" w:ascii="仿宋" w:hAnsi="仿宋" w:eastAsia="仿宋"/>
          <w:sz w:val="24"/>
        </w:rPr>
        <w:t>甲方供应商管理制度要求及工作需要，适时增加、减少入库供应商数量，乙方承诺遵守前述规定并同意甲方前述行为，且不得因此要求甲方赔偿损失或承担其他任何责任。</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二、</w:t>
      </w:r>
      <w:r>
        <w:rPr>
          <w:rFonts w:ascii="仿宋" w:hAnsi="仿宋" w:eastAsia="仿宋"/>
          <w:sz w:val="24"/>
        </w:rPr>
        <w:t>甲方有权公布入库单位名单和基本信息，乙方应对其提供的全部信息的真实性和合法性负责。</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三、</w:t>
      </w:r>
      <w:r>
        <w:rPr>
          <w:rFonts w:ascii="仿宋" w:hAnsi="仿宋" w:eastAsia="仿宋"/>
          <w:sz w:val="24"/>
        </w:rPr>
        <w:t>为加强对乙方的监督管理，规范乙方行为，提高乙方的工作效率和质量，甲方对乙方实行“动态</w:t>
      </w:r>
      <w:r>
        <w:rPr>
          <w:rFonts w:hint="eastAsia" w:ascii="仿宋" w:hAnsi="仿宋" w:eastAsia="仿宋"/>
          <w:sz w:val="24"/>
        </w:rPr>
        <w:t>调整</w:t>
      </w:r>
      <w:r>
        <w:rPr>
          <w:rFonts w:ascii="仿宋" w:hAnsi="仿宋" w:eastAsia="仿宋"/>
          <w:sz w:val="24"/>
        </w:rPr>
        <w:t>+年度</w:t>
      </w:r>
      <w:r>
        <w:rPr>
          <w:rFonts w:hint="eastAsia" w:ascii="仿宋" w:hAnsi="仿宋" w:eastAsia="仿宋"/>
          <w:sz w:val="24"/>
        </w:rPr>
        <w:t>评价</w:t>
      </w:r>
      <w:r>
        <w:rPr>
          <w:rFonts w:ascii="仿宋" w:hAnsi="仿宋" w:eastAsia="仿宋"/>
          <w:sz w:val="24"/>
        </w:rPr>
        <w:t>”相结合的考核制度（</w:t>
      </w:r>
      <w:r>
        <w:rPr>
          <w:rFonts w:hint="eastAsia" w:ascii="仿宋" w:hAnsi="仿宋" w:eastAsia="仿宋"/>
          <w:sz w:val="24"/>
        </w:rPr>
        <w:t>详见</w:t>
      </w:r>
      <w:r>
        <w:rPr>
          <w:rFonts w:ascii="仿宋" w:hAnsi="仿宋" w:eastAsia="仿宋"/>
          <w:sz w:val="24"/>
        </w:rPr>
        <w:t>附件</w:t>
      </w:r>
      <w:r>
        <w:rPr>
          <w:rFonts w:hint="eastAsia" w:ascii="仿宋" w:hAnsi="仿宋" w:eastAsia="仿宋"/>
          <w:sz w:val="24"/>
        </w:rPr>
        <w:t>，甲方有权根据实际情况对考核制度进行调整并告知乙方，乙方无权干涉且承诺无条件遵守，否则甲方有权解除合同</w:t>
      </w:r>
      <w:r>
        <w:rPr>
          <w:rFonts w:ascii="仿宋" w:hAnsi="仿宋" w:eastAsia="仿宋"/>
          <w:sz w:val="24"/>
        </w:rPr>
        <w:t>），</w:t>
      </w:r>
      <w:r>
        <w:rPr>
          <w:rFonts w:hint="eastAsia" w:ascii="仿宋" w:hAnsi="仿宋" w:eastAsia="仿宋"/>
          <w:sz w:val="24"/>
        </w:rPr>
        <w:t>并根据强制分布的原则量化形成考核分值，考核内容包括但不限于产品或服务质量、送货及时率，服务效率、服务态度、工作成果、制度执行、持证上岗、信息报送等，甲方有权力将考核排名靠后的乙方单位暂停投标权限或调整出库。</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四、甲方建立的备选库中，甲方项目一般应通过邀请招标、邀请比选或甲方规定的其他方式选取其项目的合作方。甲方可根据国家招投标监督法及工作需要，适时调整选择方法，乙方不得有任何异议。 </w:t>
      </w:r>
    </w:p>
    <w:p>
      <w:pPr>
        <w:topLinePunct/>
        <w:adjustRightInd w:val="0"/>
        <w:snapToGrid w:val="0"/>
        <w:spacing w:line="400" w:lineRule="exact"/>
        <w:ind w:firstLine="480" w:firstLineChars="200"/>
        <w:rPr>
          <w:rFonts w:ascii="仿宋" w:hAnsi="仿宋" w:eastAsia="仿宋"/>
        </w:rPr>
      </w:pPr>
      <w:r>
        <w:rPr>
          <w:rFonts w:hint="eastAsia" w:ascii="仿宋" w:hAnsi="仿宋" w:eastAsia="仿宋"/>
          <w:sz w:val="24"/>
        </w:rPr>
        <w:t>五、</w:t>
      </w:r>
      <w:r>
        <w:rPr>
          <w:rFonts w:ascii="仿宋" w:hAnsi="仿宋" w:eastAsia="仿宋"/>
          <w:sz w:val="24"/>
        </w:rPr>
        <w:t>乙方入库后就具体项目向甲方提供服务的项目负责人及项目组成员，应与本次入库投标时提报的一致，不得随意</w:t>
      </w:r>
      <w:r>
        <w:rPr>
          <w:rFonts w:hint="eastAsia" w:ascii="仿宋" w:hAnsi="仿宋" w:eastAsia="仿宋"/>
          <w:sz w:val="24"/>
        </w:rPr>
        <w:t xml:space="preserve">变动；若有变动的，乙方须及时以书面方式通知甲方，甲方有权根据具体情况考虑是否认可上述变动。乙方故意隐瞒上述事项，甲方有权在考核时予以扣分，直至将乙方调整出库。 </w:t>
      </w:r>
    </w:p>
    <w:p>
      <w:pPr>
        <w:topLinePunct/>
        <w:adjustRightInd w:val="0"/>
        <w:snapToGrid w:val="0"/>
        <w:spacing w:line="400" w:lineRule="exact"/>
        <w:ind w:firstLine="480" w:firstLineChars="200"/>
        <w:rPr>
          <w:rFonts w:ascii="仿宋" w:hAnsi="仿宋" w:eastAsia="仿宋"/>
        </w:rPr>
      </w:pPr>
      <w:r>
        <w:rPr>
          <w:rFonts w:hint="eastAsia" w:ascii="仿宋" w:hAnsi="仿宋" w:eastAsia="仿宋"/>
          <w:sz w:val="24"/>
        </w:rPr>
        <w:t>六、在入库协议有效期内，甲方有权随时对入库的供应商的资信条件、履约能力的持续性进行复查，如发现乙方出现被纳入失信被执行人名单、解散、清算、破产、主要资产被查封、涉嫌刑事犯罪、重大行政处罚等严重影响乙方履约能力的情形，甲方有权要求乙方提供担保措施或者直接将乙方调整出库，乙方出现前述情形的，应当立即向甲方书面报告并说明事实理由。</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七、乙方入库后应做到：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1.对于甲方发布的符合要求的项目，无论项目大小，都应积极参与响应投标或报价，不得对小项目以各种理由多次不响应。</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2.在核定的资质范围内承接的业务，决不接受甲方项目评选人违法的委托内容和要求，不弄虚作假，不损害社会公共利益和他人的合法权益。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3.恪守保守秘密义务，在任何情况下决不影响和干扰评选人的正常工作，并对知晓的秘密保密。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4.在参与项目投保或报价时，严格遵守国家、省市区的法律法规、 规章制度；遵循公开、公平、公正及诚实信用原则；不参与串通参选、转包、挂靠、借资质等违法行为；恪守廉洁自律，不以非法手段谋取利益。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5.自觉接受监察、审计等政府职能部门的监督管理。</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6.按项目合同提供及时周到的售后服务，定期上门回访。</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八、甲方及下属子公司向符合采购资格要求的库内供应商发出采购邀请函，乙方有下列情形之一的，甲方将对乙方发出警告并组织约谈，经约谈后同一年度内再发生 2 次上述行为的供应商，应列入不合格供应商名单：</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1.未按采购邀请函规定回复，年度累计达到 2 次的；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2.按采购邀请函规定回复未提供合理原因不参与投标或报价，年度累计达到 2 次的；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3.按采购邀请函规定回复提供合理原因不参与投标或报价，年度累计达到 3 次的。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九、乙方有下列不良行为之一经查属实的，应立即终止其供应商资格，列入集团供应商“黑名单”，从供应商库剔除，禁止其参与公开招标形式以外采购项目交易资格2年：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1.提供虚假材料，骗取供应商资格的；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2.提供虚假材料参加投标活动的；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3.向采购人有关当事人、评审专家、竞争性谈判和询价小组成员等行贿或者提供其他不正当利益的；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4.供应商相互串通投标或者与采购人串通投标的；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5.在规定期限内，无正当理由不签订合同的；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6.供应商存在违法转包、分包行为的；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7.存在重大质量问题的；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8.非不可抗力原因违约或违反投标、入库承诺，给采购人造成严重损失或影响的；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9.进入法院破产程序或存在其他经营异常情形的；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10.受到行政处罚或存在严重违法情形的；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11.被有关政府部门列入“黑名单”的；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12.存在其他严重问题的。 </w:t>
      </w:r>
    </w:p>
    <w:p>
      <w:pPr>
        <w:topLinePunct/>
        <w:adjustRightInd w:val="0"/>
        <w:snapToGrid w:val="0"/>
        <w:spacing w:line="400" w:lineRule="exact"/>
        <w:ind w:firstLine="480" w:firstLineChars="200"/>
        <w:rPr>
          <w:rFonts w:ascii="仿宋" w:hAnsi="仿宋" w:eastAsia="仿宋"/>
          <w:sz w:val="24"/>
        </w:rPr>
      </w:pPr>
      <w:r>
        <w:rPr>
          <w:rFonts w:hint="eastAsia" w:ascii="仿宋" w:hAnsi="仿宋" w:eastAsia="仿宋"/>
          <w:sz w:val="24"/>
        </w:rPr>
        <w:t xml:space="preserve">十、乙方列入不合格供应商名单、黑名单期满，问题整改完成并出具承诺文件后可重新通过准入手续加入供应商库。 </w:t>
      </w:r>
    </w:p>
    <w:p>
      <w:pPr>
        <w:topLinePunct/>
        <w:adjustRightInd w:val="0"/>
        <w:snapToGrid w:val="0"/>
        <w:spacing w:line="400" w:lineRule="exact"/>
        <w:ind w:firstLine="480" w:firstLineChars="200"/>
        <w:rPr>
          <w:rFonts w:ascii="仿宋" w:hAnsi="仿宋" w:eastAsia="仿宋"/>
        </w:rPr>
      </w:pPr>
      <w:r>
        <w:rPr>
          <w:rFonts w:hint="eastAsia" w:ascii="仿宋" w:hAnsi="仿宋" w:eastAsia="仿宋"/>
          <w:sz w:val="24"/>
        </w:rPr>
        <w:t>十一、</w:t>
      </w:r>
      <w:r>
        <w:rPr>
          <w:rFonts w:ascii="仿宋" w:hAnsi="仿宋" w:eastAsia="仿宋"/>
          <w:sz w:val="24"/>
        </w:rPr>
        <w:t>乙方需指定一名主要联系人与甲方联系。若乙方指定联系人如果因特殊原因离职或更换电话，及时通知甲方，并指定合格的接替人员。</w:t>
      </w:r>
    </w:p>
    <w:p>
      <w:pPr>
        <w:topLinePunct/>
        <w:adjustRightInd w:val="0"/>
        <w:snapToGrid w:val="0"/>
        <w:spacing w:line="400" w:lineRule="exact"/>
        <w:ind w:firstLine="480" w:firstLineChars="200"/>
        <w:rPr>
          <w:rFonts w:ascii="仿宋" w:hAnsi="仿宋" w:eastAsia="仿宋"/>
        </w:rPr>
      </w:pPr>
      <w:r>
        <w:rPr>
          <w:rFonts w:hint="eastAsia" w:ascii="仿宋" w:hAnsi="仿宋" w:eastAsia="仿宋"/>
          <w:sz w:val="24"/>
        </w:rPr>
        <w:t>十二、因乙方违反本协议约定，给甲方造成损失的，乙方应培成甲方损失。</w:t>
      </w:r>
    </w:p>
    <w:p>
      <w:pPr>
        <w:topLinePunct/>
        <w:adjustRightInd w:val="0"/>
        <w:snapToGrid w:val="0"/>
        <w:spacing w:line="400" w:lineRule="exact"/>
        <w:ind w:left="120" w:leftChars="57" w:firstLine="360" w:firstLineChars="150"/>
        <w:rPr>
          <w:rFonts w:ascii="仿宋" w:hAnsi="仿宋" w:eastAsia="仿宋"/>
        </w:rPr>
      </w:pPr>
      <w:r>
        <w:rPr>
          <w:rFonts w:hint="eastAsia" w:ascii="仿宋" w:hAnsi="仿宋" w:eastAsia="仿宋"/>
          <w:sz w:val="24"/>
        </w:rPr>
        <w:t>十三、</w:t>
      </w:r>
      <w:r>
        <w:rPr>
          <w:rFonts w:ascii="仿宋" w:hAnsi="仿宋" w:eastAsia="仿宋"/>
          <w:sz w:val="24"/>
        </w:rPr>
        <w:t>本协议自</w:t>
      </w:r>
      <w:r>
        <w:rPr>
          <w:rFonts w:hint="eastAsia" w:ascii="仿宋" w:hAnsi="仿宋" w:eastAsia="仿宋"/>
          <w:sz w:val="24"/>
          <w:u w:val="single"/>
        </w:rPr>
        <w:t>甲、乙双方签字盖章后</w:t>
      </w:r>
      <w:r>
        <w:rPr>
          <w:rFonts w:hint="eastAsia" w:ascii="仿宋" w:hAnsi="仿宋" w:eastAsia="仿宋"/>
          <w:sz w:val="24"/>
        </w:rPr>
        <w:t>生效，有效期自</w:t>
      </w:r>
      <w:r>
        <w:rPr>
          <w:rFonts w:hint="eastAsia" w:ascii="仿宋" w:hAnsi="仿宋" w:eastAsia="仿宋"/>
          <w:sz w:val="24"/>
          <w:u w:val="single"/>
        </w:rPr>
        <w:t xml:space="preserve">   </w:t>
      </w:r>
      <w:r>
        <w:rPr>
          <w:rFonts w:ascii="仿宋" w:hAnsi="仿宋" w:eastAsia="仿宋"/>
          <w:sz w:val="24"/>
          <w:u w:val="single"/>
        </w:rPr>
        <w:t xml:space="preserve">年  </w:t>
      </w:r>
      <w:r>
        <w:rPr>
          <w:rFonts w:hint="eastAsia" w:ascii="仿宋" w:hAnsi="仿宋" w:eastAsia="仿宋"/>
          <w:sz w:val="24"/>
          <w:u w:val="single"/>
        </w:rPr>
        <w:t>月</w:t>
      </w:r>
      <w:r>
        <w:rPr>
          <w:rFonts w:ascii="仿宋" w:hAnsi="仿宋" w:eastAsia="仿宋"/>
          <w:sz w:val="24"/>
          <w:u w:val="single"/>
        </w:rPr>
        <w:t xml:space="preserve">  </w:t>
      </w:r>
      <w:r>
        <w:rPr>
          <w:rFonts w:hint="eastAsia" w:ascii="仿宋" w:hAnsi="仿宋" w:eastAsia="仿宋"/>
          <w:sz w:val="24"/>
          <w:u w:val="single"/>
        </w:rPr>
        <w:t xml:space="preserve">日至   </w:t>
      </w:r>
      <w:r>
        <w:rPr>
          <w:rFonts w:ascii="仿宋" w:hAnsi="仿宋" w:eastAsia="仿宋"/>
          <w:sz w:val="24"/>
          <w:u w:val="single"/>
        </w:rPr>
        <w:t xml:space="preserve">年  </w:t>
      </w:r>
      <w:r>
        <w:rPr>
          <w:rFonts w:hint="eastAsia" w:ascii="仿宋" w:hAnsi="仿宋" w:eastAsia="仿宋"/>
          <w:sz w:val="24"/>
          <w:u w:val="single"/>
        </w:rPr>
        <w:t>月</w:t>
      </w:r>
      <w:r>
        <w:rPr>
          <w:rFonts w:ascii="仿宋" w:hAnsi="仿宋" w:eastAsia="仿宋"/>
          <w:sz w:val="24"/>
          <w:u w:val="single"/>
        </w:rPr>
        <w:t xml:space="preserve">  </w:t>
      </w:r>
      <w:r>
        <w:rPr>
          <w:rFonts w:hint="eastAsia" w:ascii="仿宋" w:hAnsi="仿宋" w:eastAsia="仿宋"/>
          <w:sz w:val="24"/>
          <w:u w:val="single"/>
        </w:rPr>
        <w:t>日</w:t>
      </w:r>
      <w:r>
        <w:rPr>
          <w:rFonts w:hint="eastAsia" w:ascii="仿宋" w:hAnsi="仿宋" w:eastAsia="仿宋"/>
          <w:sz w:val="24"/>
        </w:rPr>
        <w:t>，招标人根据中标人的工作评价情况决定是否续签协议。甲方可根据工作需要适当延期。</w:t>
      </w:r>
    </w:p>
    <w:p>
      <w:pPr>
        <w:topLinePunct/>
        <w:adjustRightInd w:val="0"/>
        <w:snapToGrid w:val="0"/>
        <w:spacing w:line="400" w:lineRule="exact"/>
        <w:ind w:left="120" w:leftChars="57" w:firstLine="360" w:firstLineChars="150"/>
        <w:rPr>
          <w:rFonts w:ascii="仿宋" w:hAnsi="仿宋" w:eastAsia="仿宋"/>
        </w:rPr>
      </w:pPr>
      <w:r>
        <w:rPr>
          <w:rFonts w:hint="eastAsia" w:ascii="仿宋" w:hAnsi="仿宋" w:eastAsia="仿宋"/>
          <w:sz w:val="24"/>
        </w:rPr>
        <w:t>十四、协议在履行过程中发生争议的，由双方协商解决；协商不成的，可向</w:t>
      </w:r>
      <w:r>
        <w:rPr>
          <w:rFonts w:hint="eastAsia" w:ascii="仿宋" w:hAnsi="仿宋" w:eastAsia="仿宋"/>
          <w:sz w:val="24"/>
          <w:u w:val="single"/>
        </w:rPr>
        <w:t>甲方所在地</w:t>
      </w:r>
      <w:r>
        <w:rPr>
          <w:rFonts w:hint="eastAsia" w:ascii="仿宋" w:hAnsi="仿宋" w:eastAsia="仿宋"/>
          <w:sz w:val="24"/>
        </w:rPr>
        <w:t>人民法院提起诉讼。</w:t>
      </w:r>
    </w:p>
    <w:p>
      <w:pPr>
        <w:topLinePunct/>
        <w:adjustRightInd w:val="0"/>
        <w:snapToGrid w:val="0"/>
        <w:spacing w:line="400" w:lineRule="exact"/>
        <w:ind w:left="120" w:leftChars="57" w:firstLine="360" w:firstLineChars="150"/>
        <w:rPr>
          <w:rFonts w:ascii="仿宋" w:hAnsi="仿宋" w:eastAsia="仿宋"/>
        </w:rPr>
      </w:pPr>
      <w:r>
        <w:rPr>
          <w:rFonts w:hint="eastAsia" w:ascii="仿宋" w:hAnsi="仿宋" w:eastAsia="仿宋"/>
          <w:sz w:val="24"/>
        </w:rPr>
        <w:t>十五、</w:t>
      </w:r>
      <w:r>
        <w:rPr>
          <w:rFonts w:hint="eastAsia" w:ascii="仿宋" w:hAnsi="仿宋" w:eastAsia="仿宋"/>
          <w:sz w:val="24"/>
          <w:u w:val="single"/>
        </w:rPr>
        <w:t>供应商入库项目</w:t>
      </w:r>
      <w:r>
        <w:rPr>
          <w:rFonts w:hint="eastAsia" w:ascii="仿宋" w:hAnsi="仿宋" w:eastAsia="仿宋"/>
          <w:sz w:val="24"/>
        </w:rPr>
        <w:t>招标文件和乙方投标文件作为本协议的有效组成部分。</w:t>
      </w:r>
    </w:p>
    <w:p>
      <w:pPr>
        <w:topLinePunct/>
        <w:adjustRightInd w:val="0"/>
        <w:snapToGrid w:val="0"/>
        <w:spacing w:line="400" w:lineRule="exact"/>
        <w:ind w:left="120" w:leftChars="57" w:firstLine="360" w:firstLineChars="150"/>
        <w:rPr>
          <w:rFonts w:hint="eastAsia" w:ascii="仿宋" w:hAnsi="仿宋" w:eastAsia="仿宋"/>
          <w:sz w:val="24"/>
        </w:rPr>
      </w:pPr>
      <w:r>
        <w:rPr>
          <w:rFonts w:hint="eastAsia" w:ascii="仿宋" w:hAnsi="仿宋" w:eastAsia="仿宋"/>
          <w:sz w:val="24"/>
        </w:rPr>
        <w:t>十六、针对具体采购项目，甲乙双方按照项目需求另行签订项目合同。</w:t>
      </w:r>
    </w:p>
    <w:p>
      <w:pPr>
        <w:topLinePunct/>
        <w:adjustRightInd w:val="0"/>
        <w:snapToGrid w:val="0"/>
        <w:spacing w:line="400" w:lineRule="exact"/>
        <w:ind w:left="120" w:leftChars="57" w:firstLine="360" w:firstLineChars="150"/>
        <w:rPr>
          <w:rFonts w:ascii="仿宋" w:hAnsi="仿宋" w:eastAsia="仿宋"/>
          <w:sz w:val="24"/>
        </w:rPr>
      </w:pPr>
      <w:r>
        <w:rPr>
          <w:rFonts w:hint="eastAsia" w:ascii="仿宋" w:hAnsi="仿宋" w:eastAsia="仿宋"/>
          <w:sz w:val="24"/>
        </w:rPr>
        <w:t>十七、</w:t>
      </w:r>
      <w:r>
        <w:rPr>
          <w:rFonts w:ascii="仿宋" w:hAnsi="仿宋" w:eastAsia="仿宋"/>
          <w:sz w:val="24"/>
        </w:rPr>
        <w:t>本协议未尽事宜，甲、乙双方协商一致后，签订补充协议。</w:t>
      </w:r>
    </w:p>
    <w:p>
      <w:pPr>
        <w:topLinePunct/>
        <w:adjustRightInd w:val="0"/>
        <w:snapToGrid w:val="0"/>
        <w:spacing w:line="400" w:lineRule="exact"/>
        <w:ind w:left="120" w:leftChars="57" w:firstLine="360" w:firstLineChars="150"/>
        <w:rPr>
          <w:rFonts w:ascii="仿宋" w:hAnsi="仿宋" w:eastAsia="仿宋"/>
          <w:sz w:val="24"/>
        </w:rPr>
      </w:pPr>
      <w:r>
        <w:rPr>
          <w:rFonts w:hint="eastAsia" w:ascii="仿宋" w:hAnsi="仿宋" w:eastAsia="仿宋"/>
          <w:sz w:val="24"/>
        </w:rPr>
        <w:t>十八、</w:t>
      </w:r>
      <w:r>
        <w:rPr>
          <w:rFonts w:ascii="仿宋" w:hAnsi="仿宋" w:eastAsia="仿宋"/>
          <w:sz w:val="24"/>
        </w:rPr>
        <w:t>本协议一式</w:t>
      </w:r>
      <w:r>
        <w:rPr>
          <w:rFonts w:hint="eastAsia" w:ascii="仿宋" w:hAnsi="仿宋" w:eastAsia="仿宋"/>
          <w:sz w:val="24"/>
        </w:rPr>
        <w:t>陆份，甲、乙双方各执叁份，具有同等法律效力。</w:t>
      </w:r>
    </w:p>
    <w:p>
      <w:pPr>
        <w:pStyle w:val="4"/>
        <w:adjustRightInd w:val="0"/>
        <w:snapToGrid w:val="0"/>
        <w:spacing w:beforeAutospacing="0" w:afterAutospacing="0" w:line="400" w:lineRule="exact"/>
        <w:ind w:left="108" w:firstLine="480" w:firstLineChars="200"/>
        <w:jc w:val="both"/>
        <w:rPr>
          <w:rFonts w:ascii="仿宋" w:hAnsi="仿宋" w:eastAsia="仿宋" w:cs="仿宋"/>
          <w:color w:val="000000"/>
        </w:rPr>
      </w:pPr>
      <w:bookmarkStart w:id="0" w:name="_GoBack"/>
      <w:bookmarkEnd w:id="0"/>
      <w:r>
        <w:rPr>
          <w:rFonts w:hint="eastAsia" w:ascii="仿宋" w:hAnsi="仿宋" w:eastAsia="仿宋" w:cs="仿宋"/>
          <w:color w:val="000000"/>
          <w:shd w:val="clear" w:color="auto" w:fill="FFFFFF"/>
        </w:rPr>
        <w:t>（以下无正文，为本合同签章页/处）</w:t>
      </w:r>
    </w:p>
    <w:tbl>
      <w:tblPr>
        <w:tblStyle w:val="5"/>
        <w:tblW w:w="8445" w:type="dxa"/>
        <w:tblInd w:w="324" w:type="dxa"/>
        <w:tblLayout w:type="autofit"/>
        <w:tblCellMar>
          <w:top w:w="0" w:type="dxa"/>
          <w:left w:w="0" w:type="dxa"/>
          <w:bottom w:w="0" w:type="dxa"/>
          <w:right w:w="0" w:type="dxa"/>
        </w:tblCellMar>
      </w:tblPr>
      <w:tblGrid>
        <w:gridCol w:w="4110"/>
        <w:gridCol w:w="4335"/>
      </w:tblGrid>
      <w:tr>
        <w:tblPrEx>
          <w:tblCellMar>
            <w:top w:w="0" w:type="dxa"/>
            <w:left w:w="0" w:type="dxa"/>
            <w:bottom w:w="0" w:type="dxa"/>
            <w:right w:w="0" w:type="dxa"/>
          </w:tblCellMar>
        </w:tblPrEx>
        <w:trPr>
          <w:trHeight w:val="815"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甲方（盖章）：   </w:t>
            </w:r>
          </w:p>
          <w:p>
            <w:pPr>
              <w:pStyle w:val="4"/>
              <w:wordWrap w:val="0"/>
              <w:adjustRightInd w:val="0"/>
              <w:snapToGrid w:val="0"/>
              <w:spacing w:beforeAutospacing="0" w:afterAutospacing="0" w:line="400" w:lineRule="exact"/>
              <w:jc w:val="both"/>
            </w:pP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乙方（盖章）：   </w:t>
            </w:r>
          </w:p>
          <w:p>
            <w:pPr>
              <w:pStyle w:val="4"/>
              <w:wordWrap w:val="0"/>
              <w:adjustRightInd w:val="0"/>
              <w:snapToGrid w:val="0"/>
              <w:spacing w:beforeAutospacing="0" w:afterAutospacing="0" w:line="400" w:lineRule="exact"/>
              <w:jc w:val="both"/>
            </w:pP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法定代表人：</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法定代表人：</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地  址：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地  址：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委托代理人或联系人：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委托代理人或联系人：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电  话：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电  话：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rPr>
                <w:rFonts w:ascii="仿宋" w:hAnsi="仿宋" w:eastAsia="仿宋" w:cs="仿宋"/>
              </w:rPr>
            </w:pPr>
            <w:r>
              <w:rPr>
                <w:rFonts w:hint="eastAsia" w:ascii="仿宋" w:hAnsi="仿宋" w:eastAsia="仿宋" w:cs="仿宋"/>
              </w:rPr>
              <w:t>手机号码：</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rPr>
                <w:rFonts w:ascii="仿宋" w:hAnsi="仿宋" w:eastAsia="仿宋" w:cs="仿宋"/>
              </w:rPr>
            </w:pPr>
            <w:r>
              <w:rPr>
                <w:rFonts w:hint="eastAsia" w:ascii="仿宋" w:hAnsi="仿宋" w:eastAsia="仿宋" w:cs="仿宋"/>
              </w:rPr>
              <w:t>手机号码：</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电子信箱：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电子信箱：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统一社会信用代码：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统一社会信用代码：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开户银行：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开户银行：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账  号：  </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pPr>
            <w:r>
              <w:rPr>
                <w:rFonts w:hint="eastAsia" w:ascii="仿宋" w:hAnsi="仿宋" w:eastAsia="仿宋" w:cs="仿宋"/>
              </w:rPr>
              <w:t>账  号：  </w:t>
            </w:r>
          </w:p>
        </w:tc>
      </w:tr>
      <w:tr>
        <w:tblPrEx>
          <w:tblCellMar>
            <w:top w:w="0" w:type="dxa"/>
            <w:left w:w="0" w:type="dxa"/>
            <w:bottom w:w="0" w:type="dxa"/>
            <w:right w:w="0" w:type="dxa"/>
          </w:tblCellMar>
        </w:tblPrEx>
        <w:trPr>
          <w:trHeight w:val="284" w:hRule="atLeast"/>
        </w:trPr>
        <w:tc>
          <w:tcPr>
            <w:tcW w:w="4110"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4"/>
              <w:wordWrap w:val="0"/>
              <w:adjustRightInd w:val="0"/>
              <w:snapToGrid w:val="0"/>
              <w:spacing w:beforeAutospacing="0" w:afterAutospacing="0" w:line="400" w:lineRule="exact"/>
              <w:jc w:val="both"/>
              <w:rPr>
                <w:rFonts w:ascii="仿宋" w:hAnsi="仿宋" w:eastAsia="仿宋" w:cs="仿宋"/>
              </w:rPr>
            </w:pPr>
            <w:r>
              <w:rPr>
                <w:rFonts w:hint="eastAsia" w:ascii="仿宋" w:hAnsi="仿宋" w:eastAsia="仿宋" w:cs="仿宋"/>
                <w:color w:val="000000"/>
                <w:shd w:val="clear" w:color="auto" w:fill="FFFFFF"/>
              </w:rPr>
              <w:t>签订日期：</w:t>
            </w:r>
          </w:p>
        </w:tc>
        <w:tc>
          <w:tcPr>
            <w:tcW w:w="4335"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4"/>
              <w:wordWrap w:val="0"/>
              <w:adjustRightInd w:val="0"/>
              <w:snapToGrid w:val="0"/>
              <w:spacing w:beforeAutospacing="0" w:afterAutospacing="0" w:line="400" w:lineRule="exact"/>
              <w:jc w:val="both"/>
              <w:rPr>
                <w:rFonts w:ascii="仿宋" w:hAnsi="仿宋" w:eastAsia="仿宋" w:cs="仿宋"/>
              </w:rPr>
            </w:pPr>
            <w:r>
              <w:rPr>
                <w:rFonts w:hint="eastAsia" w:ascii="仿宋" w:hAnsi="仿宋" w:eastAsia="仿宋" w:cs="仿宋"/>
                <w:color w:val="000000"/>
                <w:shd w:val="clear" w:color="auto" w:fill="FFFFFF"/>
              </w:rPr>
              <w:t>签订日期：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8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240" w:lineRule="atLeast"/>
      <w:outlineLvl w:val="2"/>
    </w:pPr>
    <w:rPr>
      <w:rFonts w:eastAsia="微软雅黑" w:asciiTheme="minorHAnsi" w:hAnsiTheme="minorHAnsi"/>
      <w:b/>
      <w:bCs/>
      <w:sz w:val="24"/>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spacing w:before="260" w:after="260" w:line="360" w:lineRule="auto"/>
    </w:pPr>
    <w:rPr>
      <w:rFonts w:ascii="Times New Roman" w:hAnsi="Times New Roman"/>
      <w:sz w:val="24"/>
      <w:szCs w:val="20"/>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2021-03-19T00:32:42Z</dcterms:created>
  <dc:creator>user</dc:creator>
  <cp:lastModifiedBy>王道霞</cp:lastModifiedBy>
  <dcterms:modified xsi:type="dcterms:W3CDTF">2021-03-19T00:34:40Z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